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Title"/>
        <w:spacing w:after="60"/>
      </w:pPr>
      <w:r>
        <w:t xml:space="preserve">Documenting Domestic Abuse</w:t>
      </w:r>
    </w:p>
    <w:p>
      <w:pPr>
        <w:spacing w:after="60"/>
      </w:pPr>
      <w:r>
        <w:rPr>
          <w:color w:val="3A3531"/>
          <w:sz w:val="30"/>
          <w:szCs w:val="30"/>
        </w:rPr>
        <w:t xml:space="preserve">A Complete Evidence Guide</w:t>
      </w:r>
    </w:p>
    <w:p>
      <w:pPr>
        <w:pBdr>
          <w:bottom w:val="single" w:color="5B7A66" w:sz="8" w:space="1"/>
        </w:pBdr>
        <w:spacing w:after="200" w:before="120"/>
      </w:pPr>
      <w:r>
        <w:t xml:space="preserve"/>
      </w:r>
    </w:p>
    <w:p>
      <w:pPr>
        <w:spacing w:after="220" w:line="288"/>
      </w:pPr>
      <w:r>
        <w:rPr>
          <w:i/>
          <w:iCs/>
          <w:color w:val="6F655D"/>
          <w:sz w:val="24"/>
          <w:szCs w:val="24"/>
        </w:rPr>
        <w:t xml:space="preserve">Practical steps to record safely and clearly — turning lived experience into a record that can support you when it matters. You don’t have to do all of this. Start small, keep what helps, and look after yourself first.</w:t>
      </w:r>
    </w:p>
    <w:p>
      <w:pPr>
        <w:pStyle w:val="Heading1"/>
      </w:pPr>
      <w:r>
        <w:t xml:space="preserve">Why documentation matters</w:t>
      </w:r>
    </w:p>
    <w:p>
      <w:pPr>
        <w:spacing w:after="140" w:line="288"/>
      </w:pPr>
      <w:r>
        <w:t xml:space="preserve">Leaving an abusive relationship is rarely a single moment. It’s a process shaped by fear, survival, and the need to protect children. Many survivors describe beginning to record what was happening — messages, screenshots, incidents — long before they were able to leave. What starts as a means of survival often becomes something more: a record, a timeline, a way of holding on to the truth.</w:t>
      </w:r>
    </w:p>
    <w:p>
      <w:pPr>
        <w:spacing w:after="140" w:line="288"/>
      </w:pPr>
      <w:r>
        <w:t xml:space="preserve">Most people don’t know at the outset how to document effectively, which patterns will matter, or which evidence may later be considered. This guide exists so you don’t have to learn it the hard way — with practical steps, examples, and strategies to help you record safely.</w:t>
      </w:r>
    </w:p>
    <w:p>
      <w:pPr>
        <w:pStyle w:val="Heading1"/>
      </w:pPr>
      <w:r>
        <w:t xml:space="preserve">Why this matters before you leave</w:t>
      </w:r>
    </w:p>
    <w:p>
      <w:pPr>
        <w:spacing w:after="140" w:line="288"/>
      </w:pPr>
      <w:r>
        <w:t xml:space="preserve">When you’re still in the relationship, everything can blur together. Professionals later ask, “When did this start?” or “How often does this happen?” — and your mind goes blank. A simple, factual chronology can help you:</w:t>
      </w:r>
    </w:p>
    <w:p>
      <w:pPr>
        <w:pStyle w:val="ListParagraph"/>
        <w:numPr>
          <w:ilvl w:val="0"/>
          <w:numId w:val="2"/>
        </w:numPr>
        <w:spacing w:after="80" w:line="276"/>
      </w:pPr>
      <w:r>
        <w:t xml:space="preserve">Show patterns of abuse over time, rather than what can be dismissed as “one-off arguments.”</w:t>
      </w:r>
    </w:p>
    <w:p>
      <w:pPr>
        <w:pStyle w:val="ListParagraph"/>
        <w:numPr>
          <w:ilvl w:val="0"/>
          <w:numId w:val="2"/>
        </w:numPr>
        <w:spacing w:after="80" w:line="276"/>
      </w:pPr>
      <w:r>
        <w:t xml:space="preserve">Evidence risk for police, MARAC, social care, housing, and health services.</w:t>
      </w:r>
    </w:p>
    <w:p>
      <w:pPr>
        <w:pStyle w:val="ListParagraph"/>
        <w:numPr>
          <w:ilvl w:val="0"/>
          <w:numId w:val="2"/>
        </w:numPr>
        <w:spacing w:after="80" w:line="276"/>
      </w:pPr>
      <w:r>
        <w:t xml:space="preserve">Respond to narratives such as “no concerns were raised” or “she didn’t engage.”</w:t>
      </w:r>
    </w:p>
    <w:p>
      <w:pPr>
        <w:pStyle w:val="ListParagraph"/>
        <w:numPr>
          <w:ilvl w:val="0"/>
          <w:numId w:val="2"/>
        </w:numPr>
        <w:spacing w:after="80" w:line="276"/>
      </w:pPr>
      <w:r>
        <w:t xml:space="preserve">Prepare for statements, family court, criminal investigations, and complaints.</w:t>
      </w:r>
    </w:p>
    <w:p>
      <w:pPr>
        <w:pStyle w:val="ListParagraph"/>
        <w:numPr>
          <w:ilvl w:val="0"/>
          <w:numId w:val="2"/>
        </w:numPr>
        <w:spacing w:after="80" w:line="276"/>
      </w:pPr>
      <w:r>
        <w:t xml:space="preserve">Counter gaslighting by keeping your own record of what really happened.</w:t>
      </w:r>
    </w:p>
    <w:p>
      <w:pPr>
        <w:pStyle w:val="ListParagraph"/>
        <w:numPr>
          <w:ilvl w:val="0"/>
          <w:numId w:val="2"/>
        </w:numPr>
        <w:spacing w:after="80" w:line="276"/>
      </w:pPr>
      <w:r>
        <w:t xml:space="preserve">Reassure yourself that you are not overreacting or imagining it.</w:t>
      </w:r>
    </w:p>
    <w:p>
      <w:pPr>
        <w:pStyle w:val="ListParagraph"/>
        <w:numPr>
          <w:ilvl w:val="0"/>
          <w:numId w:val="2"/>
        </w:numPr>
        <w:spacing w:after="80" w:line="276"/>
      </w:pPr>
      <w:r>
        <w:t xml:space="preserve">Build a timeline that shows escalation and frequency.</w:t>
      </w:r>
    </w:p>
    <w:p>
      <w:pPr>
        <w:pStyle w:val="ListParagraph"/>
        <w:numPr>
          <w:ilvl w:val="0"/>
          <w:numId w:val="2"/>
        </w:numPr>
        <w:spacing w:after="80" w:line="276"/>
      </w:pPr>
      <w:r>
        <w:t xml:space="preserve">Document children’s exposure to abuse.</w:t>
      </w:r>
    </w:p>
    <w:p>
      <w:pPr>
        <w:spacing w:after="140" w:line="288"/>
      </w:pPr>
      <w:r>
        <w:rPr>
          <w:b/>
          <w:bCs/>
        </w:rPr>
        <w:t xml:space="preserve">Think of it as a logbook, not a diary: </w:t>
      </w:r>
      <w:r>
        <w:t xml:space="preserve">dates, facts, outcomes, evidence.</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BF1EC" w:sz="2"/>
              <w:left w:val="single" w:color="B0563F" w:sz="18"/>
              <w:bottom w:val="single" w:color="FBF1EC" w:sz="2"/>
              <w:right w:val="single" w:color="FBF1EC" w:sz="2"/>
            </w:tcBorders>
            <w:shd w:fill="FBF1EC" w:val="clear"/>
            <w:tcMar>
              <w:top w:type="dxa" w:w="160"/>
              <w:left w:type="dxa" w:w="220"/>
              <w:bottom w:type="dxa" w:w="160"/>
              <w:right w:type="dxa" w:w="220"/>
            </w:tcMar>
          </w:tcPr>
          <w:p>
            <w:pPr>
              <w:spacing w:after="100"/>
            </w:pPr>
            <w:r>
              <w:rPr>
                <w:b/>
                <w:bCs/>
                <w:color w:val="B0563F"/>
                <w:sz w:val="26"/>
                <w:szCs w:val="26"/>
              </w:rPr>
              <w:t xml:space="preserve">🔒  Safety first — before you start</w:t>
            </w:r>
          </w:p>
          <w:p>
            <w:pPr>
              <w:spacing w:after="140" w:line="288"/>
            </w:pPr>
            <w:r>
              <w:t xml:space="preserve">If you are still living with the person causing harm, or they have access to your devices, only do what is safe. </w:t>
            </w:r>
            <w:r>
              <w:rPr>
                <w:b/>
                <w:bCs/>
              </w:rPr>
              <w:t xml:space="preserve">Your safety comes first, not the paperwork.</w:t>
            </w:r>
          </w:p>
          <w:p>
            <w:pPr>
              <w:pStyle w:val="ListParagraph"/>
              <w:numPr>
                <w:ilvl w:val="0"/>
                <w:numId w:val="2"/>
              </w:numPr>
              <w:spacing w:after="80" w:line="276"/>
            </w:pPr>
            <w:r>
              <w:t xml:space="preserve">Keep a paper copy hidden somewhere safe — at work, in a car, or with a trusted person.</w:t>
            </w:r>
          </w:p>
          <w:p>
            <w:pPr>
              <w:pStyle w:val="ListParagraph"/>
              <w:numPr>
                <w:ilvl w:val="0"/>
                <w:numId w:val="2"/>
              </w:numPr>
              <w:spacing w:after="80" w:line="276"/>
            </w:pPr>
            <w:r>
              <w:t xml:space="preserve">Use a device they cannot access (a friend’s phone, a work or library computer).</w:t>
            </w:r>
          </w:p>
          <w:p>
            <w:pPr>
              <w:pStyle w:val="ListParagraph"/>
              <w:numPr>
                <w:ilvl w:val="0"/>
                <w:numId w:val="2"/>
              </w:numPr>
              <w:spacing w:after="80" w:line="276"/>
            </w:pPr>
            <w:r>
              <w:t xml:space="preserve">Save files under a neutral name, such as “Budget 2025” or “Meal Planning.”</w:t>
            </w:r>
          </w:p>
          <w:p>
            <w:pPr>
              <w:pStyle w:val="ListParagraph"/>
              <w:numPr>
                <w:ilvl w:val="0"/>
                <w:numId w:val="2"/>
              </w:numPr>
              <w:spacing w:after="80" w:line="276"/>
            </w:pPr>
            <w:r>
              <w:t xml:space="preserve">Use a private email account they don’t know about.</w:t>
            </w:r>
          </w:p>
          <w:p>
            <w:pPr>
              <w:pStyle w:val="ListParagraph"/>
              <w:numPr>
                <w:ilvl w:val="0"/>
                <w:numId w:val="2"/>
              </w:numPr>
              <w:spacing w:after="80" w:line="276"/>
            </w:pPr>
            <w:r>
              <w:t xml:space="preserve">Use cloud storage with two-factor authentication enabled.</w:t>
            </w:r>
          </w:p>
          <w:p>
            <w:pPr>
              <w:spacing w:after="140" w:line="288"/>
            </w:pPr>
            <w:r>
              <w:t xml:space="preserve">Avoid emotional language that could escalate risk if it were found. If you think your phone or accounts may be monitored, seek specialist tech-safety advice from a domestic abuse service before storing anything. Trust your instincts — if documenting feels too dangerous right now, your safety matters more than any record.</w:t>
            </w:r>
          </w:p>
        </w:tc>
      </w:tr>
    </w:tbl>
    <w:p>
      <w:pPr>
        <w:spacing w:after="80"/>
      </w:pPr>
      <w:r>
        <w:t xml:space="preserve"/>
      </w:r>
    </w:p>
    <w:p>
      <w:pPr>
        <w:pStyle w:val="Heading1"/>
      </w:pPr>
      <w:r>
        <w:t xml:space="preserve">How to use this approach before separation</w:t>
      </w:r>
    </w:p>
    <w:p>
      <w:pPr>
        <w:spacing w:after="140" w:line="288"/>
      </w:pPr>
      <w:r>
        <w:t xml:space="preserve">Start with this month only — don’t try to recreate your whole history at once. Add entries as things happen; five to ten minutes a week is enough. It’s never too late to start, even years into a relationship, and you don’t need to do it perfectly. Some documentation is far better than none.</w:t>
      </w:r>
    </w:p>
    <w:p>
      <w:pPr>
        <w:spacing w:after="140" w:line="288"/>
      </w:pPr>
      <w:r>
        <w:t xml:space="preserve">Keep each entry factual, brief, and neutral, noting:</w:t>
      </w:r>
    </w:p>
    <w:p>
      <w:pPr>
        <w:pStyle w:val="ListParagraph"/>
        <w:numPr>
          <w:ilvl w:val="0"/>
          <w:numId w:val="2"/>
        </w:numPr>
        <w:spacing w:after="80" w:line="276"/>
      </w:pPr>
      <w:r>
        <w:rPr>
          <w:b/>
          <w:bCs/>
        </w:rPr>
        <w:t xml:space="preserve">Date — </w:t>
      </w:r>
      <w:r>
        <w:t xml:space="preserve">exact or approximate (“early March” is fine).</w:t>
      </w:r>
    </w:p>
    <w:p>
      <w:pPr>
        <w:pStyle w:val="ListParagraph"/>
        <w:numPr>
          <w:ilvl w:val="0"/>
          <w:numId w:val="2"/>
        </w:numPr>
        <w:spacing w:after="80" w:line="276"/>
      </w:pPr>
      <w:r>
        <w:rPr>
          <w:b/>
          <w:bCs/>
        </w:rPr>
        <w:t xml:space="preserve">What happened — </w:t>
      </w:r>
      <w:r>
        <w:t xml:space="preserve">a sentence or two.</w:t>
      </w:r>
    </w:p>
    <w:p>
      <w:pPr>
        <w:pStyle w:val="ListParagraph"/>
        <w:numPr>
          <w:ilvl w:val="0"/>
          <w:numId w:val="2"/>
        </w:numPr>
        <w:spacing w:after="80" w:line="276"/>
      </w:pPr>
      <w:r>
        <w:rPr>
          <w:b/>
          <w:bCs/>
        </w:rPr>
        <w:t xml:space="preserve">Who was involved — </w:t>
      </w:r>
      <w:r>
        <w:t xml:space="preserve">including children and professionals.</w:t>
      </w:r>
    </w:p>
    <w:p>
      <w:pPr>
        <w:pStyle w:val="ListParagraph"/>
        <w:numPr>
          <w:ilvl w:val="0"/>
          <w:numId w:val="2"/>
        </w:numPr>
        <w:spacing w:after="80" w:line="276"/>
      </w:pPr>
      <w:r>
        <w:rPr>
          <w:b/>
          <w:bCs/>
        </w:rPr>
        <w:t xml:space="preserve">Risk / action — </w:t>
      </w:r>
      <w:r>
        <w:t xml:space="preserve">what you did, what they did, any immediate risk.</w:t>
      </w:r>
    </w:p>
    <w:p>
      <w:pPr>
        <w:pStyle w:val="ListParagraph"/>
        <w:numPr>
          <w:ilvl w:val="0"/>
          <w:numId w:val="2"/>
        </w:numPr>
        <w:spacing w:after="80" w:line="276"/>
      </w:pPr>
      <w:r>
        <w:rPr>
          <w:b/>
          <w:bCs/>
        </w:rPr>
        <w:t xml:space="preserve">Evidence held — </w:t>
      </w:r>
      <w:r>
        <w:t xml:space="preserve">where the proof lives (text, email, photos, recordings, a witness).</w:t>
      </w:r>
    </w:p>
    <w:p>
      <w:pPr>
        <w:pStyle w:val="Heading1"/>
      </w:pPr>
      <w:r>
        <w:t xml:space="preserve">What to document</w:t>
      </w:r>
    </w:p>
    <w:p>
      <w:pPr>
        <w:spacing w:after="140" w:line="288"/>
      </w:pPr>
      <w:r>
        <w:rPr>
          <w:b/>
          <w:bCs/>
        </w:rPr>
        <w:t xml:space="preserve">Physical abuse.  </w:t>
      </w:r>
      <w:r>
        <w:t xml:space="preserve">any physical contact, threats of violence, damage to property, or dangerous driving with you or the children in the car.</w:t>
      </w:r>
    </w:p>
    <w:p>
      <w:pPr>
        <w:spacing w:after="140" w:line="288"/>
      </w:pPr>
      <w:r>
        <w:rPr>
          <w:b/>
          <w:bCs/>
        </w:rPr>
        <w:t xml:space="preserve">Verbal and emotional abuse.  </w:t>
      </w:r>
      <w:r>
        <w:t xml:space="preserve">name-calling and put-downs (note how often — e.g. “daily”), threats, blaming and accusations, and silent treatment or withdrawal (note how long it lasts).</w:t>
      </w:r>
    </w:p>
    <w:p>
      <w:pPr>
        <w:spacing w:after="140" w:line="288"/>
      </w:pPr>
      <w:r>
        <w:rPr>
          <w:b/>
          <w:bCs/>
        </w:rPr>
        <w:t xml:space="preserve">Controlling behaviour.  </w:t>
      </w:r>
      <w:r>
        <w:t xml:space="preserve">monitoring your phone, messages, or location; controlling money or questioning your spending; isolating you from friends and family; dictating what you wear or where you go; or preventing you from working or studying.</w:t>
      </w:r>
    </w:p>
    <w:p>
      <w:pPr>
        <w:spacing w:after="140" w:line="288"/>
      </w:pPr>
      <w:r>
        <w:rPr>
          <w:b/>
          <w:bCs/>
        </w:rPr>
        <w:t xml:space="preserve">Sexual abuse.  </w:t>
      </w:r>
      <w:r>
        <w:t xml:space="preserve">any unwanted sexual contact or pressure, and reproductive coercion such as interfering with contraception.</w:t>
      </w:r>
    </w:p>
    <w:p>
      <w:pPr>
        <w:spacing w:after="140" w:line="288"/>
      </w:pPr>
      <w:r>
        <w:rPr>
          <w:b/>
          <w:bCs/>
        </w:rPr>
        <w:t xml:space="preserve">Impact on children.  </w:t>
      </w:r>
      <w:r>
        <w:t xml:space="preserve">children witnessing incidents, their reactions and changes in behaviour, being used to control you, or any direct abuse or threats toward them.</w:t>
      </w:r>
    </w:p>
    <w:p>
      <w:pPr>
        <w:spacing w:after="140" w:line="288"/>
      </w:pPr>
      <w:r>
        <w:rPr>
          <w:b/>
          <w:bCs/>
        </w:rPr>
        <w:t xml:space="preserve">Contact with professionals.  </w:t>
      </w:r>
      <w:r>
        <w:t xml:space="preserve">GP visits, police call-outs (even where no action was taken), school concerns, helpline calls, and contact with social services, housing, or solicitors. Crucially, record the times you tried to get help but were turned away or not believed.</w:t>
      </w:r>
    </w:p>
    <w:p>
      <w:pPr>
        <w:pStyle w:val="Heading1"/>
      </w:pPr>
      <w:r>
        <w:t xml:space="preserve">Example entries</w:t>
      </w:r>
    </w:p>
    <w:p>
      <w:pPr>
        <w:spacing w:after="140" w:line="288"/>
      </w:pPr>
      <w:r>
        <w:t xml:space="preserve">These show the factual, neutral style to aim for. </w:t>
      </w:r>
      <w:r>
        <w:rPr>
          <w:i/>
          <w:iCs/>
          <w:color w:val="6F655D"/>
        </w:rPr>
        <w:t xml:space="preserve">Names and dates here are illustrative.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0" w:line="276"/>
            </w:pPr>
            <w:r>
              <w:rPr>
                <w:b/>
                <w:bCs/>
              </w:rPr>
              <w:t xml:space="preserve">Incident.  </w:t>
            </w:r>
            <w:r>
              <w:t xml:space="preserve">03/09/2024 — Partner shouted, used insulting names, and threw a glass against the wall. Child A (age 3) was present. No physical injury. I took the child to another room. Did not contact police due to fear of escalation. Evidence: photo of broken glass and damage to the wall, saved in a secure folder.</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0" w:line="276"/>
            </w:pPr>
            <w:r>
              <w:rPr>
                <w:b/>
                <w:bCs/>
              </w:rPr>
              <w:t xml:space="preserve">Help-seeking.  </w:t>
            </w:r>
            <w:r>
              <w:t xml:space="preserve">05/09/2024 — Called the local domestic abuse helpline for advice on safety planning and legal rights. Discussed options for leaving; advised to start an evidence log. Evidence: phone log entry, written note of key advice kept at work.</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0" w:line="276"/>
            </w:pPr>
            <w:r>
              <w:rPr>
                <w:b/>
                <w:bCs/>
              </w:rPr>
              <w:t xml:space="preserve">Medical contact.  </w:t>
            </w:r>
            <w:r>
              <w:t xml:space="preserve">10/09/2024 — Spoke to GP about anxiety, sleep problems, and the impact of partner’s behaviour. GP recorded the disclosure and offered signposting. Evidence: GP consultation record (can be requested), personal notes written the same day.</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0" w:line="276"/>
            </w:pPr>
            <w:r>
              <w:rPr>
                <w:b/>
                <w:bCs/>
              </w:rPr>
              <w:t xml:space="preserve">Surveillance / control.  </w:t>
            </w:r>
            <w:r>
              <w:t xml:space="preserve">18/09/2024 — Partner accessed my phone without permission and questioned my messages. Changed passcode; saved helpline number under a neutral name. Evidence: recorded here as a contemporaneous note.</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0" w:line="276"/>
            </w:pPr>
            <w:r>
              <w:rPr>
                <w:b/>
                <w:bCs/>
              </w:rPr>
              <w:t xml:space="preserve">Pattern.  </w:t>
            </w:r>
            <w:r>
              <w:t xml:space="preserve">22/09/2024 — Partner demanded I account for every penny of the weekly shop — the third time this month. Showed receipts; he threw them back. Evidence: photographed receipts, text messages.</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0" w:line="276"/>
            </w:pPr>
            <w:r>
              <w:rPr>
                <w:b/>
                <w:bCs/>
              </w:rPr>
              <w:t xml:space="preserve">No response from a service.  </w:t>
            </w:r>
            <w:r>
              <w:t xml:space="preserve">28/09/2024 — Called children’s social care duty line about the children witnessing abuse. Left voicemail and details; no callback. Followed up by email on 30/09; still no response by 05/10. Evidence: phone log, copy of follow-up email, this note.</w:t>
            </w:r>
          </w:p>
        </w:tc>
      </w:tr>
    </w:tbl>
    <w:p>
      <w:pPr>
        <w:pStyle w:val="Heading1"/>
      </w:pPr>
      <w:r>
        <w:t xml:space="preserve">Practical tips</w:t>
      </w:r>
    </w:p>
    <w:p>
      <w:pPr>
        <w:spacing w:after="140" w:line="288"/>
      </w:pPr>
      <w:r>
        <w:rPr>
          <w:b/>
          <w:bCs/>
        </w:rPr>
        <w:t xml:space="preserve">Do </w:t>
      </w:r>
      <w:r>
        <w:t xml:space="preserve">keep entries short, factual, and in order. Note when children were present or affected and how they reacted; any alcohol or drug use at the time; threats, property damage, and controlling behaviour; and your attempts to seek help and the responses you received. Record frequency patterns (“third time this week,” “every payday”) and the time of day, as patterns can emerge. Note “no response” or “refused to record” — that is evidence too — and when you were told something was “a civil matter” or there was “not enough evidence.” Back up safely, update weekly while it’s fresh, and date each entry when you write it.</w:t>
      </w:r>
    </w:p>
    <w:p>
      <w:pPr>
        <w:spacing w:after="140" w:line="288"/>
      </w:pPr>
      <w:r>
        <w:rPr>
          <w:b/>
          <w:bCs/>
        </w:rPr>
        <w:t xml:space="preserve">Try to avoid </w:t>
      </w:r>
      <w:r>
        <w:t xml:space="preserve">writing long essays or arguments; using diagnostic labels such as “narcissist” (stick to observable behaviour); including anything that would put you at risk if found; emotional language (keep that for a personal journal); and speculating about motives. Don’t try to fill in years of history at once, and don’t judge yourself for not documenting perfectly.</w:t>
      </w:r>
    </w:p>
    <w:p>
      <w:pPr>
        <w:pStyle w:val="Heading1"/>
      </w:pPr>
      <w:r>
        <w:t xml:space="preserve">Safe ways to gather evidence</w:t>
      </w:r>
    </w:p>
    <w:p>
      <w:pPr>
        <w:spacing w:after="140" w:line="288"/>
      </w:pPr>
      <w:r>
        <w:rPr>
          <w:b/>
          <w:bCs/>
        </w:rPr>
        <w:t xml:space="preserve">Photographs </w:t>
      </w:r>
      <w:r>
        <w:t xml:space="preserve">of injuries (with something showing the date if possible), property damage, or concerning messages on a screen.</w:t>
      </w:r>
    </w:p>
    <w:p>
      <w:pPr>
        <w:spacing w:after="140" w:line="288"/>
      </w:pPr>
      <w:r>
        <w:rPr>
          <w:b/>
          <w:bCs/>
        </w:rPr>
        <w:t xml:space="preserve">Written records </w:t>
      </w:r>
      <w:r>
        <w:t xml:space="preserve">emailed to a private account, screenshots of messages sent to yourself, or a hidden paper diary.</w:t>
      </w:r>
    </w:p>
    <w:p>
      <w:pPr>
        <w:spacing w:after="140" w:line="288"/>
      </w:pPr>
      <w:r>
        <w:rPr>
          <w:b/>
          <w:bCs/>
        </w:rPr>
        <w:t xml:space="preserve">Digital evidence </w:t>
      </w:r>
      <w:r>
        <w:t xml:space="preserve">such as saved threatening texts and emails, social media screenshots, saved voicemails, and doorbell or CCTV footage.</w:t>
      </w:r>
    </w:p>
    <w:p>
      <w:pPr>
        <w:spacing w:after="140" w:line="288"/>
      </w:pPr>
      <w:r>
        <w:rPr>
          <w:b/>
          <w:bCs/>
        </w:rPr>
        <w:t xml:space="preserve">Third-party evidence </w:t>
      </w:r>
      <w:r>
        <w:t xml:space="preserve">from neighbours, friends or family you confided in, involved professionals, or school records.</w:t>
      </w:r>
    </w:p>
    <w:p>
      <w:pPr>
        <w:spacing w:after="140" w:line="288"/>
      </w:pPr>
      <w:r>
        <w:rPr>
          <w:b/>
          <w:bCs/>
        </w:rPr>
        <w:t xml:space="preserve">Medical evidence </w:t>
      </w:r>
      <w:r>
        <w:t xml:space="preserve">— GP and A&amp;E records, counselling notes, relevant prescriptions (all of which you can request).</w:t>
      </w:r>
    </w:p>
    <w:p>
      <w:pPr>
        <w:spacing w:after="140" w:line="288"/>
      </w:pPr>
      <w:r>
        <w:rPr>
          <w:b/>
          <w:bCs/>
        </w:rPr>
        <w:t xml:space="preserve">Financial evidence </w:t>
      </w:r>
      <w:r>
        <w:t xml:space="preserve">such as bank statements showing economic control.</w:t>
      </w:r>
    </w:p>
    <w:p>
      <w:pPr>
        <w:pStyle w:val="Heading1"/>
      </w:pPr>
      <w:r>
        <w:t xml:space="preserve">An optional colour-coding system</w:t>
      </w:r>
    </w:p>
    <w:p>
      <w:pPr>
        <w:spacing w:after="140" w:line="288"/>
      </w:pPr>
      <w:r>
        <w:t xml:space="preserve">If you’re using a spreadsheet and it’s safe to do so, colour-coding helps you and professionals spot patterns quickly:</w:t>
      </w:r>
    </w:p>
    <w:p>
      <w:pPr>
        <w:pStyle w:val="ListParagraph"/>
        <w:numPr>
          <w:ilvl w:val="0"/>
          <w:numId w:val="2"/>
        </w:numPr>
        <w:spacing w:after="80" w:line="276"/>
      </w:pPr>
      <w:r>
        <w:rPr>
          <w:b/>
          <w:bCs/>
          <w:color w:val="C0392B"/>
        </w:rPr>
        <w:t xml:space="preserve">RED</w:t>
      </w:r>
      <w:r>
        <w:t xml:space="preserve">  —  high-risk incidents — violence, threats to kill, weapons, strangulation, sexual assault</w:t>
      </w:r>
    </w:p>
    <w:p>
      <w:pPr>
        <w:pStyle w:val="ListParagraph"/>
        <w:numPr>
          <w:ilvl w:val="0"/>
          <w:numId w:val="2"/>
        </w:numPr>
        <w:spacing w:after="80" w:line="276"/>
      </w:pPr>
      <w:r>
        <w:rPr>
          <w:b/>
          <w:bCs/>
          <w:color w:val="D87C2A"/>
        </w:rPr>
        <w:t xml:space="preserve">ORANGE</w:t>
      </w:r>
      <w:r>
        <w:t xml:space="preserve">  —  escalating control, stalking, or isolation</w:t>
      </w:r>
    </w:p>
    <w:p>
      <w:pPr>
        <w:pStyle w:val="ListParagraph"/>
        <w:numPr>
          <w:ilvl w:val="0"/>
          <w:numId w:val="2"/>
        </w:numPr>
        <w:spacing w:after="80" w:line="276"/>
      </w:pPr>
      <w:r>
        <w:rPr>
          <w:b/>
          <w:bCs/>
          <w:color w:val="C9A227"/>
        </w:rPr>
        <w:t xml:space="preserve">YELLOW</w:t>
      </w:r>
      <w:r>
        <w:t xml:space="preserve">  —  verbal and emotional abuse</w:t>
      </w:r>
    </w:p>
    <w:p>
      <w:pPr>
        <w:pStyle w:val="ListParagraph"/>
        <w:numPr>
          <w:ilvl w:val="0"/>
          <w:numId w:val="2"/>
        </w:numPr>
        <w:spacing w:after="80" w:line="276"/>
      </w:pPr>
      <w:r>
        <w:rPr>
          <w:b/>
          <w:bCs/>
          <w:color w:val="2E6DA4"/>
        </w:rPr>
        <w:t xml:space="preserve">BLUE</w:t>
      </w:r>
      <w:r>
        <w:t xml:space="preserve">  —  medical or mental health contact</w:t>
      </w:r>
    </w:p>
    <w:p>
      <w:pPr>
        <w:pStyle w:val="ListParagraph"/>
        <w:numPr>
          <w:ilvl w:val="0"/>
          <w:numId w:val="2"/>
        </w:numPr>
        <w:spacing w:after="80" w:line="276"/>
      </w:pPr>
      <w:r>
        <w:rPr>
          <w:b/>
          <w:bCs/>
          <w:color w:val="7D5BA6"/>
        </w:rPr>
        <w:t xml:space="preserve">PURPLE</w:t>
      </w:r>
      <w:r>
        <w:t xml:space="preserve">  —  legal advice, police contact, or official reports</w:t>
      </w:r>
    </w:p>
    <w:p>
      <w:pPr>
        <w:pStyle w:val="ListParagraph"/>
        <w:numPr>
          <w:ilvl w:val="0"/>
          <w:numId w:val="2"/>
        </w:numPr>
        <w:spacing w:after="80" w:line="276"/>
      </w:pPr>
      <w:r>
        <w:rPr>
          <w:b/>
          <w:bCs/>
          <w:color w:val="4F8A5B"/>
        </w:rPr>
        <w:t xml:space="preserve">GREEN</w:t>
      </w:r>
      <w:r>
        <w:t xml:space="preserve">  —  when you sought help or a professional took positive action</w:t>
      </w:r>
    </w:p>
    <w:p>
      <w:pPr>
        <w:pStyle w:val="ListParagraph"/>
        <w:numPr>
          <w:ilvl w:val="0"/>
          <w:numId w:val="2"/>
        </w:numPr>
        <w:spacing w:after="80" w:line="276"/>
      </w:pPr>
      <w:r>
        <w:rPr>
          <w:b/>
          <w:bCs/>
          <w:color w:val="7A7A7A"/>
        </w:rPr>
        <w:t xml:space="preserve">GREY</w:t>
      </w:r>
      <w:r>
        <w:t xml:space="preserve">  —  “no response,” “not recorded,” or “refused to engage”</w:t>
      </w:r>
    </w:p>
    <w:p>
      <w:pPr>
        <w:pStyle w:val="Heading1"/>
      </w:pPr>
      <w:r>
        <w:t xml:space="preserve">Where a chronology can help</w:t>
      </w:r>
    </w:p>
    <w:p>
      <w:pPr>
        <w:spacing w:after="140" w:line="288"/>
      </w:pPr>
      <w:r>
        <w:t xml:space="preserve">A clear record can support you across many settings, though it is one part of a wider picture rather than a guarantee of any outcome. It can assist in:</w:t>
      </w:r>
    </w:p>
    <w:p>
      <w:pPr>
        <w:spacing w:after="140" w:line="288"/>
      </w:pPr>
      <w:r>
        <w:rPr>
          <w:b/>
          <w:bCs/>
        </w:rPr>
        <w:t xml:space="preserve">Legal proceedings </w:t>
      </w:r>
      <w:r>
        <w:t xml:space="preserve">— family court child-arrangement hearings, criminal proceedings, and non-molestation or occupation orders.</w:t>
      </w:r>
    </w:p>
    <w:p>
      <w:pPr>
        <w:spacing w:after="140" w:line="288"/>
      </w:pPr>
      <w:r>
        <w:rPr>
          <w:b/>
          <w:bCs/>
        </w:rPr>
        <w:t xml:space="preserve">Safeguarding contexts </w:t>
      </w:r>
      <w:r>
        <w:t xml:space="preserve">— Early Help and TAF meetings, child protection conferences, MARAC, and adult safeguarding.</w:t>
      </w:r>
    </w:p>
    <w:p>
      <w:pPr>
        <w:spacing w:after="140" w:line="288"/>
      </w:pPr>
      <w:r>
        <w:rPr>
          <w:b/>
          <w:bCs/>
        </w:rPr>
        <w:t xml:space="preserve">Housing and welfare </w:t>
      </w:r>
      <w:r>
        <w:t xml:space="preserve">— priority-need applications, Universal Credit provisions, and school consultations.</w:t>
      </w:r>
    </w:p>
    <w:p>
      <w:pPr>
        <w:spacing w:after="140" w:line="288"/>
      </w:pPr>
      <w:r>
        <w:rPr>
          <w:b/>
          <w:bCs/>
        </w:rPr>
        <w:t xml:space="preserve">Complaints and accountability </w:t>
      </w:r>
      <w:r>
        <w:t xml:space="preserve">— processes with the NHS, police, or social services, including ICO and Ombudsman matters, and responding to claims of “non-engagement.”</w:t>
      </w:r>
    </w:p>
    <w:p>
      <w:pPr>
        <w:spacing w:after="140" w:line="288"/>
      </w:pPr>
      <w:r>
        <w:rPr>
          <w:b/>
          <w:bCs/>
        </w:rPr>
        <w:t xml:space="preserve">Your own clarity </w:t>
      </w:r>
      <w:r>
        <w:t xml:space="preserve">— helping you see patterns, plan for safety, and, in time, support your recovery.</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BF1EC" w:sz="2"/>
              <w:left w:val="single" w:color="B0563F" w:sz="18"/>
              <w:bottom w:val="single" w:color="FBF1EC" w:sz="2"/>
              <w:right w:val="single" w:color="FBF1EC" w:sz="2"/>
            </w:tcBorders>
            <w:shd w:fill="FBF1EC" w:val="clear"/>
            <w:tcMar>
              <w:top w:type="dxa" w:w="160"/>
              <w:left w:type="dxa" w:w="220"/>
              <w:bottom w:type="dxa" w:w="160"/>
              <w:right w:type="dxa" w:w="220"/>
            </w:tcMar>
          </w:tcPr>
          <w:p>
            <w:pPr>
              <w:spacing w:after="100"/>
            </w:pPr>
            <w:r>
              <w:rPr>
                <w:b/>
                <w:bCs/>
                <w:color w:val="B0563F"/>
                <w:sz w:val="26"/>
                <w:szCs w:val="26"/>
              </w:rPr>
              <w:t xml:space="preserve">If they find it</w:t>
            </w:r>
          </w:p>
          <w:p>
            <w:pPr>
              <w:spacing w:after="140" w:line="288"/>
            </w:pPr>
            <w:r>
              <w:t xml:space="preserve">This is a real and valid fear. To reduce the risk: store it somewhere they cannot access, use initials or coded language if needed, keep a copy with someone you trust, and use secure cloud storage with strong passwords.</w:t>
            </w:r>
          </w:p>
          <w:p>
            <w:pPr>
              <w:spacing w:after="140" w:line="288"/>
            </w:pPr>
            <w:r>
              <w:t xml:space="preserve">If it is discovered, it can help to have a cover story ready (“work notes,” “helping a friend”). Try not to justify or explain it to them — and treat discovery as a sign to seek support from a domestic abuse service straight away. You have every right to document your own experiences. You are not doing anything wrong.</w:t>
            </w:r>
          </w:p>
        </w:tc>
      </w:tr>
    </w:tbl>
    <w:p>
      <w:pPr>
        <w:spacing w:after="80"/>
      </w:pPr>
      <w:r>
        <w:t xml:space="preserve"/>
      </w:r>
    </w:p>
    <w:p>
      <w:pPr>
        <w:pStyle w:val="Heading1"/>
      </w:pPr>
      <w:r>
        <w:t xml:space="preserve">Storage and backup</w:t>
      </w:r>
    </w:p>
    <w:p>
      <w:pPr>
        <w:spacing w:after="140" w:line="288"/>
      </w:pPr>
      <w:r>
        <w:t xml:space="preserve">Keep your primary copy somewhere safe — a trusted person’s home, a work locker, or a solicitor’s office. Back it up digitally to cloud storage with two-factor authentication, and email copies to yourself or a trusted friend. A USB stick kept outside your home, and a printed copy stored off-site, give you redundancy. Don’t rely on a single location, update at least monthly, and never discuss the record with the person causing harm. If you may need to leave quickly, consider keeping a copy with an emergency “go bag.”</w:t>
      </w:r>
    </w:p>
    <w:p>
      <w:pPr>
        <w:pStyle w:val="Heading1"/>
      </w:pPr>
      <w:r>
        <w:t xml:space="preserve">Questions survivors often ask</w:t>
      </w:r>
    </w:p>
    <w:p>
      <w:pPr>
        <w:spacing w:after="40" w:before="120"/>
      </w:pPr>
      <w:r>
        <w:rPr>
          <w:b/>
          <w:bCs/>
          <w:color w:val="5B7A66"/>
        </w:rPr>
        <w:t xml:space="preserve">Is it too late if I’ve been in the relationship for years?</w:t>
      </w:r>
    </w:p>
    <w:p>
      <w:pPr>
        <w:spacing w:after="140" w:line="288"/>
      </w:pPr>
      <w:r>
        <w:t xml:space="preserve">No. Start now — even a few months can show patterns, and you can add clearly-remembered historic entries.</w:t>
      </w:r>
    </w:p>
    <w:p>
      <w:pPr>
        <w:spacing w:after="40" w:before="120"/>
      </w:pPr>
      <w:r>
        <w:rPr>
          <w:b/>
          <w:bCs/>
          <w:color w:val="5B7A66"/>
        </w:rPr>
        <w:t xml:space="preserve">What if I can’t remember exact dates?</w:t>
      </w:r>
    </w:p>
    <w:p>
      <w:pPr>
        <w:spacing w:after="140" w:line="288"/>
      </w:pPr>
      <w:r>
        <w:t xml:space="preserve">Approximate dates are fine: “around my birthday,” “just before Christmas 2023.”</w:t>
      </w:r>
    </w:p>
    <w:p>
      <w:pPr>
        <w:spacing w:after="40" w:before="120"/>
      </w:pPr>
      <w:r>
        <w:rPr>
          <w:b/>
          <w:bCs/>
          <w:color w:val="5B7A66"/>
        </w:rPr>
        <w:t xml:space="preserve">Will this be admissible in court?</w:t>
      </w:r>
    </w:p>
    <w:p>
      <w:pPr>
        <w:spacing w:after="140" w:line="288"/>
      </w:pPr>
      <w:r>
        <w:t xml:space="preserve">Notes made at the time or soon after can carry weight, and combined with other evidence they help build a picture. How evidence is treated is ultimately a matter for the court and your legal advisor.</w:t>
      </w:r>
    </w:p>
    <w:p>
      <w:pPr>
        <w:spacing w:after="40" w:before="120"/>
      </w:pPr>
      <w:r>
        <w:rPr>
          <w:b/>
          <w:bCs/>
          <w:color w:val="5B7A66"/>
        </w:rPr>
        <w:t xml:space="preserve">I feel guilty documenting when he’s not always bad.</w:t>
      </w:r>
    </w:p>
    <w:p>
      <w:pPr>
        <w:spacing w:after="140" w:line="288"/>
      </w:pPr>
      <w:r>
        <w:t xml:space="preserve">Abuse is about patterns, not every moment. You’re protecting yourself and your children, not betraying anyone.</w:t>
      </w:r>
    </w:p>
    <w:p>
      <w:pPr>
        <w:spacing w:after="40" w:before="120"/>
      </w:pPr>
      <w:r>
        <w:rPr>
          <w:b/>
          <w:bCs/>
          <w:color w:val="5B7A66"/>
        </w:rPr>
        <w:t xml:space="preserve">What if I’m overreacting?</w:t>
      </w:r>
    </w:p>
    <w:p>
      <w:pPr>
        <w:spacing w:after="140" w:line="288"/>
      </w:pPr>
      <w:r>
        <w:t xml:space="preserve">If you feel the need to document your relationship, that itself is worth listening to. Trust yourself.</w:t>
      </w:r>
    </w:p>
    <w:p>
      <w:pPr>
        <w:spacing w:after="40" w:before="120"/>
      </w:pPr>
      <w:r>
        <w:rPr>
          <w:b/>
          <w:bCs/>
          <w:color w:val="5B7A66"/>
        </w:rPr>
        <w:t xml:space="preserve">What if professionals still don’t believe me?</w:t>
      </w:r>
    </w:p>
    <w:p>
      <w:pPr>
        <w:spacing w:after="140" w:line="288"/>
      </w:pPr>
      <w:r>
        <w:t xml:space="preserve">Some may not. That is exactly why recording “no response” matters — it can evidence where systems fell short, not where you did.</w:t>
      </w:r>
    </w:p>
    <w:p>
      <w:pPr>
        <w:pStyle w:val="Heading1"/>
      </w:pPr>
      <w:r>
        <w:t xml:space="preserve">A final word</w:t>
      </w:r>
    </w:p>
    <w:p>
      <w:pPr>
        <w:spacing w:after="140" w:line="288"/>
      </w:pPr>
      <w:r>
        <w:t xml:space="preserve">If you are creating a chronology, reading guides like this, and planning your evidence, you already sense that something is very wrong. This record is validation that your experiences are real, evidence that you are actively seeking help, protection for you and your children, and a measure of power when you feel powerless.</w:t>
      </w:r>
    </w:p>
    <w:p>
      <w:pPr>
        <w:spacing w:after="140" w:line="288"/>
      </w:pPr>
      <w:r>
        <w:t xml:space="preserve">It is not a way to “win” or punish anyone, not a guarantee that every professional will believe you, and not a replacement for getting out safely. </w:t>
      </w:r>
      <w:r>
        <w:rPr>
          <w:b/>
          <w:bCs/>
        </w:rPr>
        <w:t xml:space="preserve">You deserve to be believed. You deserve to be safe.</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EEF3EF" w:sz="2"/>
              <w:left w:val="single" w:color="5B7A66" w:sz="18"/>
              <w:bottom w:val="single" w:color="EEF3EF" w:sz="2"/>
              <w:right w:val="single" w:color="EEF3EF" w:sz="2"/>
            </w:tcBorders>
            <w:shd w:fill="EEF3EF" w:val="clear"/>
            <w:tcMar>
              <w:top w:type="dxa" w:w="160"/>
              <w:left w:type="dxa" w:w="220"/>
              <w:bottom w:type="dxa" w:w="160"/>
              <w:right w:type="dxa" w:w="220"/>
            </w:tcMar>
          </w:tcPr>
          <w:p>
            <w:pPr>
              <w:spacing w:after="80"/>
            </w:pPr>
            <w:r>
              <w:rPr>
                <w:b/>
                <w:bCs/>
                <w:color w:val="5B7A66"/>
                <w:sz w:val="24"/>
                <w:szCs w:val="24"/>
              </w:rPr>
              <w:t xml:space="preserve">If you need support</w:t>
            </w:r>
          </w:p>
          <w:p>
            <w:pPr>
              <w:spacing w:after="60"/>
            </w:pPr>
            <w:r>
              <w:rPr>
                <w:b/>
                <w:bCs/>
              </w:rPr>
              <w:t xml:space="preserve">Emergency: </w:t>
            </w:r>
            <w:r>
              <w:t xml:space="preserve">999.   </w:t>
            </w:r>
            <w:r>
              <w:rPr>
                <w:b/>
                <w:bCs/>
              </w:rPr>
              <w:t xml:space="preserve">Non-urgent police (UK): </w:t>
            </w:r>
            <w:r>
              <w:t xml:space="preserve">101.</w:t>
            </w:r>
          </w:p>
          <w:p>
            <w:pPr>
              <w:spacing w:after="60"/>
            </w:pPr>
            <w:r>
              <w:rPr>
                <w:b/>
                <w:bCs/>
              </w:rPr>
              <w:t xml:space="preserve">National Domestic Abuse Helpline </w:t>
            </w:r>
            <w:r>
              <w:t xml:space="preserve">(24-hour, run by Refuge): 0808 2000 247.</w:t>
            </w:r>
          </w:p>
          <w:p>
            <w:pPr>
              <w:spacing w:after="0"/>
            </w:pPr>
            <w:r>
              <w:t xml:space="preserve">If you think your devices may be monitored, prioritise your safety and seek specialist domestic abuse support before creating any digital records.</w:t>
            </w:r>
          </w:p>
        </w:tc>
      </w:tr>
    </w:tbl>
    <w:p>
      <w:pPr>
        <w:spacing w:after="60"/>
      </w:pPr>
      <w:r>
        <w:t xml:space="preserve"/>
      </w:r>
    </w:p>
    <w:p>
      <w:pPr>
        <w:spacing w:before="160"/>
      </w:pPr>
      <w:r>
        <w:rPr>
          <w:i/>
          <w:iCs/>
          <w:color w:val="6F655D"/>
          <w:sz w:val="18"/>
          <w:szCs w:val="18"/>
        </w:rPr>
        <w:t xml:space="preserve">This survivor-led resource is provided by NAAVoices.com for advocacy and information. It is not legal or medical advice and does not replace the guidance of a qualified solicitor or specialist. Always consult an appropriate professional about your own situation.</w:t>
      </w:r>
    </w:p>
    <w:sectPr>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E7DDD3" w:sz="4" w:space="6"/>
      </w:pBdr>
      <w:spacing w:before="80"/>
      <w:jc w:val="center"/>
    </w:pPr>
    <w:r>
      <w:rPr>
        <w:color w:val="6F655D"/>
        <w:sz w:val="16"/>
        <w:szCs w:val="16"/>
      </w:rPr>
      <w:t xml:space="preserve">NAAVoices.com  ·  Survivor-led advocacy, awareness and support  ·  Page </w:t>
    </w:r>
    <w:r>
      <w:rPr>
        <w:color w:val="6F655D"/>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600" w:hanging="280"/>
      </w:pPr>
      <w:rPr>
        <w:color w:val="5B7A66"/>
      </w:rPr>
    </w:lvl>
  </w:abstractNum>
  <w:abstractNum w:abstractNumId="3" w15:restartNumberingAfterBreak="0">
    <w:multiLevelType w:val="hybridMultilevel"/>
    <w:lvl w:ilvl="0" w15:tentative="1">
      <w:start w:val="1"/>
      <w:numFmt w:val="decimal"/>
      <w:lvlText w:val="%1."/>
      <w:lvlJc w:val="left"/>
      <w:pPr>
        <w:ind w:left="600" w:hanging="32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3A3531"/>
        <w:sz w:val="23"/>
        <w:szCs w:val="23"/>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Title">
    <w:name w:val="Title"/>
    <w:basedOn w:val="Normal"/>
    <w:next w:val="Normal"/>
    <w:qFormat/>
    <w:pPr>
      <w:spacing w:after="80"/>
    </w:pPr>
    <w:rPr>
      <w:rFonts w:ascii="Calibri" w:cs="Calibri" w:eastAsia="Calibri" w:hAnsi="Calibri"/>
      <w:b/>
      <w:bCs/>
      <w:color w:val="5B7A66"/>
      <w:sz w:val="48"/>
      <w:szCs w:val="48"/>
    </w:rPr>
  </w:style>
  <w:style w:type="paragraph" w:styleId="Heading1">
    <w:name w:val="Heading 1"/>
    <w:basedOn w:val="Normal"/>
    <w:next w:val="Normal"/>
    <w:qFormat/>
    <w:pPr>
      <w:spacing w:after="140" w:before="320"/>
      <w:outlineLvl w:val="0"/>
    </w:pPr>
    <w:rPr>
      <w:rFonts w:ascii="Calibri" w:cs="Calibri" w:eastAsia="Calibri" w:hAnsi="Calibri"/>
      <w:b/>
      <w:bCs/>
      <w:color w:val="5B7A66"/>
      <w:sz w:val="30"/>
      <w:szCs w:val="30"/>
    </w:rPr>
  </w:style>
  <w:style w:type="paragraph" w:styleId="Heading2">
    <w:name w:val="Heading 2"/>
    <w:basedOn w:val="Normal"/>
    <w:next w:val="Normal"/>
    <w:qFormat/>
    <w:pPr>
      <w:spacing w:after="120" w:before="240"/>
      <w:outlineLvl w:val="1"/>
    </w:pPr>
    <w:rPr>
      <w:rFonts w:ascii="Calibri" w:cs="Calibri" w:eastAsia="Calibri" w:hAnsi="Calibri"/>
      <w:b/>
      <w:bCs/>
      <w:color w:val="3A3531"/>
      <w:sz w:val="25"/>
      <w:szCs w:val="25"/>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NAAVoices.com</dc:creator>
  <cp:lastModifiedBy>Un-named</cp:lastModifiedBy>
  <cp:revision>1</cp:revision>
  <dcterms:created xsi:type="dcterms:W3CDTF">2026-06-02T15:34:34.588Z</dcterms:created>
  <dcterms:modified xsi:type="dcterms:W3CDTF">2026-06-02T15:34:34.588Z</dcterms:modified>
</cp:coreProperties>
</file>

<file path=docProps/custom.xml><?xml version="1.0" encoding="utf-8"?>
<Properties xmlns="http://schemas.openxmlformats.org/officeDocument/2006/custom-properties" xmlns:vt="http://schemas.openxmlformats.org/officeDocument/2006/docPropsVTypes"/>
</file>